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line="240" w:lineRule="atLeast"/>
        <w:ind w:hanging="142" w:left="-567"/>
        <w:jc w:val="center"/>
        <w:rPr>
          <w:rFonts w:eastAsiaTheme="minorHAnsi"/>
          <w:b/>
          <w:color w:val="000000" w:themeColor="text1"/>
          <w:lang w:eastAsia="en-US"/>
        </w:rPr>
      </w:pPr>
      <w:r>
        <w:rPr>
          <w:rFonts w:eastAsiaTheme="minorHAnsi"/>
          <w:b/>
          <w:color w:val="000000" w:themeColor="text1"/>
          <w:lang w:eastAsia="en-US"/>
        </w:rPr>
      </w:r>
      <w:r>
        <w:rPr>
          <w:rFonts w:eastAsiaTheme="minorHAnsi"/>
          <w:b/>
          <w:color w:val="000000" w:themeColor="text1"/>
          <w:lang w:eastAsia="en-US"/>
        </w:rPr>
      </w:r>
      <w:r>
        <w:rPr>
          <w:rFonts w:eastAsiaTheme="minorHAnsi"/>
          <w:b/>
          <w:color w:val="000000" w:themeColor="text1"/>
          <w:lang w:eastAsia="en-US"/>
        </w:rPr>
      </w:r>
    </w:p>
    <w:p>
      <w:pPr>
        <w:pBdr/>
        <w:spacing w:line="240" w:lineRule="atLeast"/>
        <w:ind w:right="-108" w:left="-127"/>
        <w:jc w:val="center"/>
        <w:rPr>
          <w:rFonts w:eastAsiaTheme="minorHAnsi"/>
          <w:b/>
          <w:color w:val="000000" w:themeColor="text1"/>
          <w:sz w:val="20"/>
          <w:szCs w:val="20"/>
          <w:lang w:eastAsia="en-US"/>
        </w:rPr>
      </w:pPr>
      <w:r>
        <w:rPr>
          <w:rFonts w:eastAsiaTheme="minorHAnsi"/>
          <w:b/>
          <w:color w:val="000000" w:themeColor="text1"/>
          <w:sz w:val="20"/>
          <w:szCs w:val="20"/>
          <w:lang w:eastAsia="en-US"/>
        </w:rPr>
        <w:t xml:space="preserve">МИНЗДРАВ РОССИИ</w:t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</w:p>
    <w:p>
      <w:pPr>
        <w:pBdr/>
        <w:spacing w:line="240" w:lineRule="atLeast"/>
        <w:ind w:right="-108" w:left="-127"/>
        <w:jc w:val="center"/>
        <w:rPr>
          <w:rFonts w:eastAsiaTheme="minorHAnsi"/>
          <w:b/>
          <w:color w:val="000000" w:themeColor="text1"/>
          <w:sz w:val="20"/>
          <w:szCs w:val="20"/>
          <w:lang w:eastAsia="en-US"/>
        </w:rPr>
      </w:pPr>
      <w:r>
        <w:rPr>
          <w:rFonts w:eastAsiaTheme="minorHAnsi"/>
          <w:b/>
          <w:color w:val="000000" w:themeColor="text1"/>
          <w:sz w:val="20"/>
          <w:szCs w:val="20"/>
          <w:lang w:eastAsia="en-US"/>
        </w:rPr>
        <w:t xml:space="preserve">федеральное государственное бюджетное образовательное учреждение высшего образования</w:t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</w:p>
    <w:p>
      <w:pPr>
        <w:pBdr/>
        <w:spacing w:line="240" w:lineRule="atLeast"/>
        <w:ind w:right="-108" w:left="-127"/>
        <w:jc w:val="center"/>
        <w:rPr>
          <w:rFonts w:eastAsiaTheme="minorHAnsi"/>
          <w:b/>
          <w:color w:val="000000" w:themeColor="text1"/>
          <w:sz w:val="20"/>
          <w:szCs w:val="20"/>
          <w:lang w:eastAsia="en-US"/>
        </w:rPr>
      </w:pPr>
      <w:r>
        <w:rPr>
          <w:rFonts w:eastAsiaTheme="minorHAnsi"/>
          <w:b/>
          <w:color w:val="000000" w:themeColor="text1"/>
          <w:sz w:val="20"/>
          <w:szCs w:val="20"/>
          <w:lang w:eastAsia="en-US"/>
        </w:rPr>
        <w:t xml:space="preserve">«ДАЛЬНЕВОСТОЧНЫЙ ГОСУДАРСТВЕННЫЙ МЕДИЦИНСКИЙ УНИВЕРСИТЕТ»</w:t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</w:p>
    <w:p>
      <w:pPr>
        <w:pBdr/>
        <w:spacing w:line="240" w:lineRule="atLeast"/>
        <w:ind w:right="-108" w:left="-127"/>
        <w:jc w:val="center"/>
        <w:rPr>
          <w:rFonts w:eastAsiaTheme="minorHAnsi"/>
          <w:b/>
          <w:color w:val="000000" w:themeColor="text1"/>
          <w:sz w:val="20"/>
          <w:szCs w:val="20"/>
          <w:lang w:eastAsia="en-US"/>
        </w:rPr>
      </w:pPr>
      <w:r>
        <w:rPr>
          <w:rFonts w:eastAsiaTheme="minorHAnsi"/>
          <w:b/>
          <w:color w:val="000000" w:themeColor="text1"/>
          <w:sz w:val="20"/>
          <w:szCs w:val="20"/>
          <w:lang w:eastAsia="en-US"/>
        </w:rPr>
        <w:t xml:space="preserve">МИНИСТЕРСТВА ЗДРАВООХРАНЕНИЯ РОССИЙСКОЙ ФЕДЕРАЦИИ</w:t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</w:p>
    <w:p>
      <w:pPr>
        <w:pBdr/>
        <w:spacing w:line="240" w:lineRule="atLeast"/>
        <w:ind w:right="-108" w:left="-127"/>
        <w:jc w:val="center"/>
        <w:rPr>
          <w:rFonts w:eastAsiaTheme="minorHAnsi"/>
          <w:b/>
          <w:color w:val="000000" w:themeColor="text1"/>
          <w:sz w:val="20"/>
          <w:szCs w:val="20"/>
          <w:lang w:eastAsia="en-US"/>
        </w:rPr>
      </w:pPr>
      <w:r>
        <w:rPr>
          <w:rFonts w:eastAsiaTheme="minorHAnsi"/>
          <w:b/>
          <w:color w:val="000000" w:themeColor="text1"/>
          <w:sz w:val="20"/>
          <w:szCs w:val="20"/>
          <w:lang w:eastAsia="en-US"/>
        </w:rPr>
        <w:t xml:space="preserve">(ФГБОУ ВО ДВГМУ Минздрава России)</w:t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</w:p>
    <w:p>
      <w:pPr>
        <w:pBdr/>
        <w:spacing w:line="240" w:lineRule="atLeast"/>
        <w:ind w:right="-108" w:left="-127"/>
        <w:jc w:val="center"/>
        <w:rPr>
          <w:rFonts w:eastAsiaTheme="minorHAnsi"/>
          <w:b/>
          <w:color w:val="000000" w:themeColor="text1"/>
          <w:sz w:val="20"/>
          <w:szCs w:val="20"/>
          <w:lang w:eastAsia="en-US"/>
        </w:rPr>
      </w:pP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</w:p>
    <w:p>
      <w:pPr>
        <w:pBdr/>
        <w:spacing w:line="240" w:lineRule="atLeast"/>
        <w:ind w:right="-108" w:left="-127"/>
        <w:jc w:val="center"/>
        <w:rPr>
          <w:rFonts w:eastAsiaTheme="minorHAnsi"/>
          <w:b/>
          <w:color w:val="000000" w:themeColor="text1"/>
          <w:sz w:val="20"/>
          <w:szCs w:val="20"/>
          <w:lang w:eastAsia="en-US"/>
        </w:rPr>
      </w:pPr>
      <w:r>
        <w:rPr>
          <w:rFonts w:eastAsiaTheme="minorHAnsi"/>
          <w:b/>
          <w:color w:val="000000" w:themeColor="text1"/>
          <w:sz w:val="20"/>
          <w:szCs w:val="20"/>
          <w:lang w:eastAsia="en-US"/>
        </w:rPr>
        <w:t xml:space="preserve">Хабаровский филиал </w:t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</w:p>
    <w:p>
      <w:pPr>
        <w:pBdr/>
        <w:spacing w:line="240" w:lineRule="atLeast"/>
        <w:ind w:right="-108" w:left="-127"/>
        <w:jc w:val="center"/>
        <w:rPr>
          <w:rFonts w:eastAsiaTheme="minorHAnsi"/>
          <w:b/>
          <w:color w:val="000000" w:themeColor="text1"/>
          <w:sz w:val="20"/>
          <w:szCs w:val="20"/>
          <w:lang w:eastAsia="en-US"/>
        </w:rPr>
      </w:pPr>
      <w:r>
        <w:rPr>
          <w:rFonts w:eastAsiaTheme="minorHAnsi"/>
          <w:b/>
          <w:color w:val="000000" w:themeColor="text1"/>
          <w:sz w:val="20"/>
          <w:szCs w:val="20"/>
          <w:lang w:eastAsia="en-US"/>
        </w:rPr>
        <w:t xml:space="preserve">Национального медицинского исследовательского центра оториноларингологии ФМБА России</w:t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</w:p>
    <w:p>
      <w:pPr>
        <w:pBdr/>
        <w:spacing w:line="240" w:lineRule="atLeast"/>
        <w:ind w:right="-108" w:left="-127"/>
        <w:jc w:val="center"/>
        <w:rPr>
          <w:rFonts w:eastAsiaTheme="minorHAnsi"/>
          <w:b/>
          <w:color w:val="000000" w:themeColor="text1"/>
          <w:sz w:val="20"/>
          <w:szCs w:val="20"/>
          <w:lang w:eastAsia="en-US"/>
        </w:rPr>
      </w:pPr>
      <w:r>
        <w:rPr>
          <w:rFonts w:eastAsiaTheme="minorHAnsi"/>
          <w:b/>
          <w:color w:val="000000" w:themeColor="text1"/>
          <w:sz w:val="20"/>
          <w:szCs w:val="20"/>
          <w:lang w:eastAsia="en-US"/>
        </w:rPr>
        <w:t xml:space="preserve">(Хабаровский филиал ФГБУ НМИЦО ФМБА России</w:t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  <w:t xml:space="preserve">)</w:t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  <w:r>
        <w:rPr>
          <w:rFonts w:eastAsiaTheme="minorHAnsi"/>
          <w:b/>
          <w:color w:val="000000" w:themeColor="text1"/>
          <w:sz w:val="20"/>
          <w:szCs w:val="20"/>
          <w:lang w:eastAsia="en-US"/>
        </w:rPr>
      </w:r>
    </w:p>
    <w:p>
      <w:pPr>
        <w:pBdr/>
        <w:spacing w:line="240" w:lineRule="atLeast"/>
        <w:ind w:hanging="142" w:left="-567"/>
        <w:jc w:val="center"/>
        <w:rPr>
          <w:rFonts w:eastAsiaTheme="minorHAnsi"/>
          <w:b/>
          <w:color w:val="1f497d" w:themeColor="text2"/>
          <w:sz w:val="40"/>
          <w:szCs w:val="40"/>
          <w:lang w:eastAsia="en-US"/>
        </w:rPr>
      </w:pP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</w:p>
    <w:p>
      <w:pPr>
        <w:pBdr/>
        <w:spacing w:line="240" w:lineRule="atLeast"/>
        <w:ind w:hanging="142" w:left="-567"/>
        <w:rPr>
          <w:rFonts w:eastAsiaTheme="minorHAnsi"/>
          <w:b/>
          <w:color w:val="1f497d" w:themeColor="text2"/>
          <w:sz w:val="40"/>
          <w:szCs w:val="40"/>
          <w:lang w:eastAsia="en-US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762750" cy="3867150"/>
                <wp:effectExtent l="0" t="0" r="0" b="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762750" cy="3867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532.50pt;height:304.50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</w:p>
    <w:p>
      <w:pPr>
        <w:pBdr/>
        <w:spacing w:line="240" w:lineRule="atLeast"/>
        <w:ind/>
        <w:jc w:val="center"/>
        <w:rPr>
          <w:rFonts w:eastAsiaTheme="minorHAnsi"/>
          <w:b/>
          <w:color w:val="1f497d" w:themeColor="text2"/>
          <w:sz w:val="56"/>
          <w:szCs w:val="56"/>
          <w:lang w:eastAsia="en-US"/>
        </w:rPr>
      </w:pPr>
      <w:r>
        <w:rPr>
          <w:rFonts w:eastAsiaTheme="minorHAnsi"/>
          <w:b/>
          <w:color w:val="1f497d" w:themeColor="text2"/>
          <w:sz w:val="56"/>
          <w:szCs w:val="56"/>
          <w:lang w:eastAsia="en-US"/>
        </w:rPr>
        <w:t xml:space="preserve">ПРОГРАММА</w:t>
      </w:r>
      <w:r>
        <w:rPr>
          <w:rFonts w:eastAsiaTheme="minorHAnsi"/>
          <w:b/>
          <w:color w:val="1f497d" w:themeColor="text2"/>
          <w:sz w:val="56"/>
          <w:szCs w:val="56"/>
          <w:lang w:eastAsia="en-US"/>
        </w:rPr>
      </w:r>
      <w:r>
        <w:rPr>
          <w:rFonts w:eastAsiaTheme="minorHAnsi"/>
          <w:b/>
          <w:color w:val="1f497d" w:themeColor="text2"/>
          <w:sz w:val="56"/>
          <w:szCs w:val="56"/>
          <w:lang w:eastAsia="en-US"/>
        </w:rPr>
      </w:r>
    </w:p>
    <w:p>
      <w:pPr>
        <w:pBdr/>
        <w:spacing w:line="240" w:lineRule="atLeast"/>
        <w:ind w:hanging="142" w:left="-567"/>
        <w:jc w:val="center"/>
        <w:rPr>
          <w:rFonts w:eastAsiaTheme="minorHAnsi"/>
          <w:b/>
          <w:color w:val="1f497d" w:themeColor="text2"/>
          <w:sz w:val="40"/>
          <w:szCs w:val="40"/>
          <w:lang w:eastAsia="en-US"/>
        </w:rPr>
      </w:pP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</w:p>
    <w:p>
      <w:pPr>
        <w:pBdr/>
        <w:spacing w:line="240" w:lineRule="atLeast"/>
        <w:ind w:hanging="142" w:left="-567"/>
        <w:jc w:val="center"/>
        <w:rPr>
          <w:rFonts w:eastAsiaTheme="minorHAnsi"/>
          <w:b/>
          <w:color w:val="1f497d" w:themeColor="text2"/>
          <w:sz w:val="40"/>
          <w:szCs w:val="40"/>
          <w:lang w:eastAsia="en-US"/>
        </w:rPr>
      </w:pPr>
      <w:r>
        <w:rPr>
          <w:rFonts w:eastAsiaTheme="minorHAnsi"/>
          <w:b/>
          <w:color w:val="1f497d" w:themeColor="text2"/>
          <w:sz w:val="40"/>
          <w:szCs w:val="40"/>
          <w:lang w:eastAsia="en-US"/>
        </w:rPr>
        <w:t xml:space="preserve">м</w:t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  <w:t xml:space="preserve">ежрегиональной </w:t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  <w:t xml:space="preserve"> научно-практической конференции</w:t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</w:p>
    <w:p>
      <w:pPr>
        <w:pBdr/>
        <w:spacing w:line="240" w:lineRule="atLeast"/>
        <w:ind w:hanging="142" w:left="-567"/>
        <w:jc w:val="center"/>
        <w:rPr>
          <w:rFonts w:eastAsiaTheme="minorHAnsi"/>
          <w:b/>
          <w:color w:val="1f497d" w:themeColor="text2"/>
          <w:sz w:val="40"/>
          <w:szCs w:val="40"/>
          <w:lang w:eastAsia="en-US"/>
        </w:rPr>
      </w:pPr>
      <w:r>
        <w:rPr>
          <w:rFonts w:eastAsiaTheme="minorHAnsi"/>
          <w:b/>
          <w:color w:val="1f497d" w:themeColor="text2"/>
          <w:sz w:val="40"/>
          <w:szCs w:val="40"/>
          <w:lang w:eastAsia="en-US"/>
        </w:rPr>
        <w:t xml:space="preserve"> «Актуальные вопросы оториноларингологии»</w:t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</w:p>
    <w:p>
      <w:pPr>
        <w:pBdr/>
        <w:spacing w:line="240" w:lineRule="atLeast"/>
        <w:ind w:hanging="142" w:left="-567"/>
        <w:jc w:val="center"/>
        <w:rPr>
          <w:rFonts w:eastAsiaTheme="minorHAnsi"/>
          <w:b/>
          <w:color w:val="1f497d" w:themeColor="text2"/>
          <w:sz w:val="40"/>
          <w:szCs w:val="40"/>
          <w:lang w:eastAsia="en-US"/>
        </w:rPr>
      </w:pP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  <w:r>
        <w:rPr>
          <w:rFonts w:eastAsiaTheme="minorHAnsi"/>
          <w:b/>
          <w:color w:val="1f497d" w:themeColor="text2"/>
          <w:sz w:val="40"/>
          <w:szCs w:val="40"/>
          <w:lang w:eastAsia="en-US"/>
        </w:rPr>
      </w:r>
    </w:p>
    <w:tbl>
      <w:tblPr>
        <w:tblStyle w:val="89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>
        <w:trPr/>
        <w:tc>
          <w:tcPr>
            <w:tcBorders/>
            <w:tcW w:w="3227" w:type="dxa"/>
          </w:tcPr>
          <w:p>
            <w:pPr>
              <w:pBdr/>
              <w:spacing w:line="240" w:lineRule="atLeast"/>
              <w:ind/>
              <w:jc w:val="center"/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</w:pPr>
            <w:r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43075" cy="1730211"/>
                      <wp:effectExtent l="0" t="0" r="0" b="3810"/>
                      <wp:docPr id="2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0"/>
                              <a:srcRect l="4700" t="3031" r="4328" b="63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42515" cy="172965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" o:spid="_x0000_s1" type="#_x0000_t75" style="width:137.25pt;height:136.24pt;mso-wrap-distance-left:0.00pt;mso-wrap-distance-top:0.00pt;mso-wrap-distance-right:0.00pt;mso-wrap-distance-bottom:0.00pt;z-index:1;" stroked="f">
                      <v:imagedata r:id="rId10" o:title="" croptop="1986f" cropleft="3080f" cropbottom="4192f" cropright="2836f"/>
                      <o:lock v:ext="edit" rotation="t"/>
                    </v:shape>
                  </w:pict>
                </mc:Fallback>
              </mc:AlternateContent>
            </w:r>
            <w:r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</w:r>
            <w:r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</w:r>
          </w:p>
        </w:tc>
        <w:tc>
          <w:tcPr>
            <w:tcBorders/>
            <w:tcW w:w="6344" w:type="dxa"/>
          </w:tcPr>
          <w:p>
            <w:pPr>
              <w:pBdr/>
              <w:spacing w:line="240" w:lineRule="atLeast"/>
              <w:ind w:hanging="142" w:left="318"/>
              <w:jc w:val="center"/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</w:pPr>
            <w:r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</w:r>
            <w:r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</w:r>
            <w:r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</w:r>
          </w:p>
          <w:p>
            <w:pPr>
              <w:pBdr/>
              <w:spacing w:line="240" w:lineRule="atLeast"/>
              <w:ind w:hanging="142" w:left="318"/>
              <w:jc w:val="center"/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</w:pPr>
            <w:r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</w:r>
            <w:r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</w:r>
            <w:r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</w:r>
          </w:p>
          <w:p w14:paraId="476A5804">
            <w:pPr>
              <w:pStyle w:val="856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eastAsiaTheme="minorHAnsi"/>
                <w:b/>
                <w:color w:val="1f497d" w:themeColor="text2"/>
                <w:sz w:val="36"/>
                <w:szCs w:val="40"/>
                <w:lang w:eastAsia="en-US"/>
              </w:rPr>
              <w:t xml:space="preserve">Регистрационная форма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 w14:paraId="68CEC363">
            <w:pPr>
              <w:pStyle w:val="856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 w14:paraId="2C5C893C">
            <w:pPr>
              <w:pStyle w:val="856"/>
              <w:pBdr/>
              <w:spacing/>
              <w:ind/>
              <w:rPr>
                <w:rFonts w:ascii="Times New Roman" w:hAnsi="Times New Roman" w:cs="Times New Roman"/>
                <w:color w:val="00206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  <w:highlight w:val="none"/>
              </w:rPr>
              <w:t xml:space="preserve">Видеоподключение</w:t>
            </w:r>
            <w:r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  <w:highlight w:val="none"/>
              </w:rPr>
              <w:t xml:space="preserve">: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highlight w:val="none"/>
              </w:rPr>
              <w:t xml:space="preserve"> </w:t>
            </w:r>
            <w:hyperlink r:id="rId11" w:tooltip="https://fesmu.ktalk.ru/" w:history="1">
              <w:r>
                <w:rPr>
                  <w:rStyle w:val="873"/>
                  <w:rFonts w:ascii="Times New Roman" w:hAnsi="Times New Roman" w:cs="Times New Roman"/>
                  <w:color w:val="002060"/>
                  <w:sz w:val="28"/>
                  <w:szCs w:val="28"/>
                  <w:highlight w:val="none"/>
                  <w:u w:val="none"/>
                </w:rPr>
                <w:t xml:space="preserve">https://fesmu.ktalk.ru/</w:t>
              </w:r>
            </w:hyperlink>
            <w:r>
              <w:rPr>
                <w:rFonts w:ascii="Times New Roman" w:hAnsi="Times New Roman" w:cs="Times New Roman"/>
                <w:color w:val="002060"/>
                <w:sz w:val="28"/>
                <w:szCs w:val="28"/>
                <w:highlight w:val="none"/>
              </w:rPr>
              <w:t xml:space="preserve">238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highlight w:val="none"/>
              </w:rPr>
            </w:r>
          </w:p>
          <w:p w14:paraId="7546B890">
            <w:pPr>
              <w:pBdr/>
              <w:spacing w:line="240" w:lineRule="atLeast"/>
              <w:ind w:left="34"/>
              <w:rPr>
                <w:rFonts w:eastAsiaTheme="minorHAnsi"/>
                <w:b/>
                <w:bCs/>
                <w:color w:val="002060"/>
                <w:sz w:val="36"/>
                <w:szCs w:val="36"/>
              </w:rPr>
            </w:pPr>
            <w:r>
              <w:rPr>
                <w:rFonts w:eastAsiaTheme="minorHAnsi"/>
                <w:b/>
                <w:color w:val="002060"/>
                <w:sz w:val="36"/>
                <w:szCs w:val="40"/>
                <w:lang w:eastAsia="en-US"/>
              </w:rPr>
            </w:r>
            <w:r>
              <w:rPr>
                <w:rFonts w:eastAsiaTheme="minorHAnsi"/>
                <w:b/>
                <w:bCs/>
                <w:color w:val="002060"/>
                <w:sz w:val="36"/>
                <w:szCs w:val="36"/>
              </w:rPr>
            </w:r>
            <w:r>
              <w:rPr>
                <w:rFonts w:eastAsiaTheme="minorHAnsi"/>
                <w:b/>
                <w:bCs/>
                <w:color w:val="002060"/>
                <w:sz w:val="36"/>
                <w:szCs w:val="36"/>
              </w:rPr>
            </w:r>
          </w:p>
        </w:tc>
      </w:tr>
    </w:tbl>
    <w:p>
      <w:pPr>
        <w:pBdr/>
        <w:spacing w:line="240" w:lineRule="atLeast"/>
        <w:ind w:hanging="142" w:left="-567"/>
        <w:jc w:val="center"/>
        <w:rPr>
          <w:rFonts w:eastAsiaTheme="minorHAnsi"/>
          <w:b/>
          <w:color w:val="1f497d" w:themeColor="text2"/>
          <w:sz w:val="36"/>
          <w:szCs w:val="40"/>
          <w:lang w:eastAsia="en-US"/>
        </w:rPr>
      </w:pPr>
      <w:r>
        <w:rPr>
          <w:rFonts w:eastAsiaTheme="minorHAnsi"/>
          <w:b/>
          <w:color w:val="1f497d" w:themeColor="text2"/>
          <w:sz w:val="36"/>
          <w:szCs w:val="40"/>
          <w:lang w:eastAsia="en-US"/>
        </w:rPr>
        <w:t xml:space="preserve">     </w:t>
      </w:r>
      <w:bookmarkStart w:id="0" w:name="_GoBack"/>
      <w:r/>
      <w:bookmarkEnd w:id="0"/>
      <w:r>
        <w:rPr>
          <w:rFonts w:eastAsiaTheme="minorHAnsi"/>
          <w:b/>
          <w:color w:val="1f497d" w:themeColor="text2"/>
          <w:sz w:val="36"/>
          <w:szCs w:val="40"/>
          <w:lang w:eastAsia="en-US"/>
        </w:rPr>
      </w:r>
      <w:r>
        <w:rPr>
          <w:rFonts w:eastAsiaTheme="minorHAnsi"/>
          <w:b/>
          <w:color w:val="1f497d" w:themeColor="text2"/>
          <w:sz w:val="36"/>
          <w:szCs w:val="40"/>
          <w:lang w:eastAsia="en-US"/>
        </w:rPr>
      </w:r>
    </w:p>
    <w:p>
      <w:pPr>
        <w:pBdr/>
        <w:spacing w:line="240" w:lineRule="atLeast"/>
        <w:ind/>
        <w:jc w:val="center"/>
        <w:rPr>
          <w:rFonts w:eastAsiaTheme="minorHAnsi"/>
          <w:b/>
          <w:color w:val="1f497d" w:themeColor="text2"/>
          <w:sz w:val="36"/>
          <w:szCs w:val="36"/>
          <w:lang w:eastAsia="en-US"/>
        </w:rPr>
      </w:pPr>
      <w:r>
        <w:rPr>
          <w:rFonts w:eastAsiaTheme="minorHAnsi"/>
          <w:b/>
          <w:color w:val="1f497d" w:themeColor="text2"/>
          <w:sz w:val="36"/>
          <w:szCs w:val="36"/>
          <w:lang w:eastAsia="en-US"/>
        </w:rPr>
        <w:t xml:space="preserve">6 ноября </w:t>
      </w:r>
      <w:r>
        <w:rPr>
          <w:rFonts w:eastAsiaTheme="minorHAnsi"/>
          <w:b/>
          <w:color w:val="1f497d" w:themeColor="text2"/>
          <w:sz w:val="36"/>
          <w:szCs w:val="36"/>
          <w:lang w:eastAsia="en-US"/>
        </w:rPr>
        <w:t xml:space="preserve">2026</w:t>
      </w:r>
      <w:r>
        <w:rPr>
          <w:rFonts w:eastAsiaTheme="minorHAnsi"/>
          <w:b/>
          <w:color w:val="1f497d" w:themeColor="text2"/>
          <w:sz w:val="36"/>
          <w:szCs w:val="36"/>
          <w:lang w:eastAsia="en-US"/>
        </w:rPr>
      </w:r>
      <w:r>
        <w:rPr>
          <w:rFonts w:eastAsiaTheme="minorHAnsi"/>
          <w:b/>
          <w:color w:val="1f497d" w:themeColor="text2"/>
          <w:sz w:val="36"/>
          <w:szCs w:val="36"/>
          <w:lang w:eastAsia="en-US"/>
        </w:rPr>
      </w:r>
    </w:p>
    <w:p>
      <w:pPr>
        <w:pBdr/>
        <w:spacing w:line="240" w:lineRule="atLeast"/>
        <w:ind/>
        <w:rPr>
          <w:rFonts w:eastAsiaTheme="minorHAnsi"/>
          <w:b/>
          <w:color w:val="17365d" w:themeColor="text2" w:themeShade="BF"/>
          <w:sz w:val="36"/>
          <w:szCs w:val="36"/>
          <w:lang w:eastAsia="en-US"/>
        </w:rPr>
      </w:pPr>
      <w:r>
        <w:rPr>
          <w:rFonts w:eastAsiaTheme="minorHAnsi"/>
          <w:b/>
          <w:color w:val="17365d" w:themeColor="text2" w:themeShade="BF"/>
          <w:sz w:val="36"/>
          <w:szCs w:val="36"/>
          <w:lang w:eastAsia="en-US"/>
        </w:rPr>
        <w:t xml:space="preserve">Межрегиональная научно-практическая конференция</w:t>
      </w:r>
      <w:r>
        <w:rPr>
          <w:rFonts w:eastAsiaTheme="minorHAnsi"/>
          <w:b/>
          <w:color w:val="17365d" w:themeColor="text2" w:themeShade="BF"/>
          <w:sz w:val="36"/>
          <w:szCs w:val="36"/>
          <w:lang w:eastAsia="en-US"/>
        </w:rPr>
        <w:t xml:space="preserve"> </w:t>
      </w:r>
      <w:r>
        <w:rPr>
          <w:rFonts w:eastAsiaTheme="minorHAnsi"/>
          <w:b/>
          <w:color w:val="17365d" w:themeColor="text2" w:themeShade="BF"/>
          <w:sz w:val="36"/>
          <w:szCs w:val="36"/>
          <w:lang w:eastAsia="en-US"/>
        </w:rPr>
        <w:t xml:space="preserve"> </w:t>
      </w:r>
      <w:r>
        <w:rPr>
          <w:rFonts w:eastAsiaTheme="minorHAnsi"/>
          <w:b/>
          <w:color w:val="17365d" w:themeColor="text2" w:themeShade="BF"/>
          <w:sz w:val="36"/>
          <w:szCs w:val="36"/>
          <w:lang w:eastAsia="en-US"/>
        </w:rPr>
      </w:r>
      <w:r>
        <w:rPr>
          <w:rFonts w:eastAsiaTheme="minorHAnsi"/>
          <w:b/>
          <w:color w:val="17365d" w:themeColor="text2" w:themeShade="BF"/>
          <w:sz w:val="36"/>
          <w:szCs w:val="36"/>
          <w:lang w:eastAsia="en-US"/>
        </w:rPr>
      </w:r>
    </w:p>
    <w:p>
      <w:pPr>
        <w:pBdr/>
        <w:spacing w:line="240" w:lineRule="atLeast"/>
        <w:ind w:left="-567"/>
        <w:jc w:val="center"/>
        <w:rPr>
          <w:rFonts w:eastAsiaTheme="minorHAnsi"/>
          <w:b/>
          <w:color w:val="17365d" w:themeColor="text2" w:themeShade="BF"/>
          <w:sz w:val="36"/>
          <w:szCs w:val="36"/>
          <w:lang w:eastAsia="en-US"/>
        </w:rPr>
      </w:pPr>
      <w:r>
        <w:rPr>
          <w:rFonts w:eastAsiaTheme="minorHAnsi"/>
          <w:b/>
          <w:color w:val="17365d" w:themeColor="text2" w:themeShade="BF"/>
          <w:sz w:val="36"/>
          <w:szCs w:val="36"/>
          <w:lang w:eastAsia="en-US"/>
        </w:rPr>
        <w:t xml:space="preserve">«Актуальные вопросы оториноларингологии»</w:t>
      </w:r>
      <w:r>
        <w:rPr>
          <w:rFonts w:eastAsiaTheme="minorHAnsi"/>
          <w:b/>
          <w:color w:val="17365d" w:themeColor="text2" w:themeShade="BF"/>
          <w:sz w:val="36"/>
          <w:szCs w:val="36"/>
          <w:lang w:eastAsia="en-US"/>
        </w:rPr>
      </w:r>
      <w:r>
        <w:rPr>
          <w:rFonts w:eastAsiaTheme="minorHAnsi"/>
          <w:b/>
          <w:color w:val="17365d" w:themeColor="text2" w:themeShade="BF"/>
          <w:sz w:val="36"/>
          <w:szCs w:val="36"/>
          <w:lang w:eastAsia="en-US"/>
        </w:rPr>
      </w:r>
    </w:p>
    <w:p>
      <w:pPr>
        <w:pBdr/>
        <w:spacing w:line="240" w:lineRule="atLeast"/>
        <w:ind w:hanging="142" w:left="-567"/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pP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r>
    </w:p>
    <w:p>
      <w:pPr>
        <w:pBdr/>
        <w:spacing w:line="240" w:lineRule="atLeast"/>
        <w:ind w:hanging="142" w:left="-567"/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pP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6</w:t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 </w:t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ноября 2026</w:t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 года  </w:t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                </w:t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    </w:t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  </w:t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                                               </w:t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           </w:t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 14</w:t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.00</w:t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r>
    </w:p>
    <w:p>
      <w:pPr>
        <w:pBdr/>
        <w:spacing w:line="240" w:lineRule="atLeast"/>
        <w:ind w:hanging="142" w:left="-567"/>
        <w:jc w:val="center"/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pP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r>
    </w:p>
    <w:p>
      <w:pPr>
        <w:pBdr/>
        <w:spacing w:line="240" w:lineRule="atLeast"/>
        <w:ind w:hanging="142" w:left="-567"/>
        <w:jc w:val="center"/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pP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г. Хабаровск, ДВГМУ, ул. Муравьева-Амурского, 35</w:t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</w:r>
    </w:p>
    <w:p>
      <w:pPr>
        <w:pBdr/>
        <w:spacing w:line="240" w:lineRule="atLeast"/>
        <w:ind w:hanging="142" w:left="-567"/>
        <w:jc w:val="center"/>
        <w:rPr>
          <w:rFonts w:eastAsiaTheme="minorHAnsi"/>
          <w:b/>
          <w:bCs/>
          <w:color w:val="17375e" w:themeColor="text2" w:themeShade="BF"/>
          <w:sz w:val="32"/>
          <w:szCs w:val="32"/>
          <w:highlight w:val="none"/>
          <w:lang w:eastAsia="en-US"/>
        </w:rPr>
      </w:pPr>
      <w:r>
        <w:rPr>
          <w:rFonts w:eastAsiaTheme="minorHAnsi"/>
          <w:b/>
          <w:color w:val="17365d" w:themeColor="text2" w:themeShade="BF"/>
          <w:sz w:val="32"/>
          <w:szCs w:val="32"/>
          <w:lang w:eastAsia="en-US"/>
        </w:rPr>
        <w:t xml:space="preserve">конференц-зал (ауд. 238)</w:t>
      </w:r>
      <w:r>
        <w:rPr>
          <w:rFonts w:eastAsiaTheme="minorHAnsi"/>
          <w:b/>
          <w:bCs/>
          <w:color w:val="17375e" w:themeColor="text2" w:themeShade="BF"/>
          <w:sz w:val="32"/>
          <w:szCs w:val="32"/>
          <w:highlight w:val="none"/>
          <w:lang w:eastAsia="en-US"/>
        </w:rPr>
      </w:r>
      <w:r>
        <w:rPr>
          <w:rFonts w:eastAsiaTheme="minorHAnsi"/>
          <w:b/>
          <w:bCs/>
          <w:color w:val="17375e" w:themeColor="text2" w:themeShade="BF"/>
          <w:sz w:val="32"/>
          <w:szCs w:val="32"/>
          <w:highlight w:val="none"/>
          <w:lang w:eastAsia="en-US"/>
        </w:rPr>
      </w:r>
    </w:p>
    <w:p w14:paraId="1CDFC83E">
      <w:pPr>
        <w:pBdr/>
        <w:spacing w:line="240" w:lineRule="atLeast"/>
        <w:ind w:hanging="142" w:left="-567"/>
        <w:jc w:val="center"/>
        <w:rPr>
          <w:rFonts w:eastAsiaTheme="minorHAnsi"/>
          <w:b/>
          <w:bCs/>
          <w:color w:val="17375e" w:themeColor="text2" w:themeShade="BF"/>
          <w:sz w:val="32"/>
          <w:szCs w:val="32"/>
          <w:highlight w:val="none"/>
          <w:lang w:eastAsia="en-US"/>
        </w:rPr>
      </w:pPr>
      <w:r>
        <w:rPr>
          <w:rFonts w:eastAsiaTheme="minorHAnsi"/>
          <w:b/>
          <w:color w:val="17365d" w:themeColor="text2" w:themeShade="BF"/>
          <w:sz w:val="32"/>
          <w:szCs w:val="32"/>
          <w:highlight w:val="none"/>
          <w:lang w:eastAsia="en-US"/>
        </w:rPr>
      </w:r>
      <w:r>
        <w:rPr>
          <w:rFonts w:eastAsiaTheme="minorHAnsi"/>
          <w:b/>
          <w:bCs/>
          <w:color w:val="17375e" w:themeColor="text2" w:themeShade="BF"/>
          <w:sz w:val="32"/>
          <w:szCs w:val="32"/>
          <w:highlight w:val="none"/>
          <w:lang w:eastAsia="en-US"/>
        </w:rPr>
      </w:r>
      <w:r>
        <w:rPr>
          <w:rFonts w:eastAsiaTheme="minorHAnsi"/>
          <w:b/>
          <w:bCs/>
          <w:color w:val="17375e" w:themeColor="text2" w:themeShade="BF"/>
          <w:sz w:val="32"/>
          <w:szCs w:val="32"/>
          <w:highlight w:val="none"/>
          <w:lang w:eastAsia="en-US"/>
        </w:rPr>
      </w:r>
    </w:p>
    <w:p w14:paraId="776B6643">
      <w:pPr>
        <w:pBdr/>
        <w:spacing w:line="240" w:lineRule="atLeast"/>
        <w:ind w:hanging="142" w:left="-567"/>
        <w:jc w:val="center"/>
        <w:rPr>
          <w:rFonts w:eastAsiaTheme="minorHAnsi"/>
          <w:b/>
          <w:bCs/>
          <w:color w:val="17375e" w:themeColor="text2" w:themeShade="BF"/>
          <w:sz w:val="32"/>
          <w:szCs w:val="32"/>
          <w:lang w:eastAsia="en-US"/>
        </w:rPr>
      </w:pPr>
      <w:r>
        <w:rPr>
          <w:rFonts w:eastAsiaTheme="minorHAnsi"/>
          <w:b/>
          <w:color w:val="17365d" w:themeColor="text2" w:themeShade="BF"/>
          <w:sz w:val="32"/>
          <w:szCs w:val="32"/>
          <w:highlight w:val="none"/>
          <w:lang w:eastAsia="en-US"/>
        </w:rPr>
      </w:r>
      <w:r>
        <w:rPr>
          <w:rFonts w:eastAsiaTheme="minorHAnsi"/>
          <w:b/>
          <w:bCs/>
          <w:color w:val="17375e" w:themeColor="text2" w:themeShade="BF"/>
          <w:sz w:val="32"/>
          <w:szCs w:val="32"/>
          <w:lang w:eastAsia="en-US"/>
        </w:rPr>
      </w:r>
      <w:r>
        <w:rPr>
          <w:rFonts w:eastAsiaTheme="minorHAnsi"/>
          <w:b/>
          <w:bCs/>
          <w:color w:val="17375e" w:themeColor="text2" w:themeShade="BF"/>
          <w:sz w:val="32"/>
          <w:szCs w:val="32"/>
          <w:lang w:eastAsia="en-US"/>
        </w:rPr>
      </w:r>
    </w:p>
    <w:tbl>
      <w:tblPr>
        <w:tblStyle w:val="891"/>
        <w:tblInd w:w="-601" w:type="dxa"/>
        <w:tblW w:w="102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526"/>
        <w:gridCol w:w="8681"/>
      </w:tblGrid>
      <w:tr>
        <w:trPr>
          <w:trHeight w:val="3398"/>
        </w:trPr>
        <w:tc>
          <w:tcPr>
            <w:tcBorders/>
            <w:tcW w:w="1526" w:type="dxa"/>
          </w:tcPr>
          <w:p>
            <w:pPr>
              <w:pBdr/>
              <w:tabs>
                <w:tab w:val="left" w:leader="none" w:pos="2235"/>
              </w:tabs>
              <w:spacing/>
              <w:ind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  <w:t xml:space="preserve">4:00-14</w:t>
            </w:r>
            <w:r>
              <w:rPr>
                <w:b/>
                <w:sz w:val="28"/>
                <w:szCs w:val="28"/>
              </w:rPr>
              <w:t xml:space="preserve">:15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8681" w:type="dxa"/>
          </w:tcPr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Открытие конференции. Приветственное слово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 w:hanging="34" w:left="34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Жмеренецкий</w:t>
            </w:r>
            <w:r>
              <w:rPr>
                <w:b/>
                <w:i/>
                <w:sz w:val="28"/>
                <w:szCs w:val="28"/>
              </w:rPr>
              <w:t xml:space="preserve"> Константин Вячеславович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проректор по учебно-воспитательной работе и молодежной политике </w:t>
            </w:r>
            <w:r>
              <w:rPr>
                <w:sz w:val="28"/>
                <w:szCs w:val="28"/>
              </w:rPr>
              <w:t xml:space="preserve">ФГБОУ ВО «Дальневосточный государственный медицинский университет» Минздрава России, чле</w:t>
            </w:r>
            <w:r>
              <w:rPr>
                <w:sz w:val="28"/>
                <w:szCs w:val="28"/>
              </w:rPr>
              <w:t xml:space="preserve">н-</w:t>
            </w:r>
            <w:r>
              <w:rPr>
                <w:sz w:val="28"/>
                <w:szCs w:val="28"/>
              </w:rPr>
              <w:t xml:space="preserve"> корреспондент </w:t>
            </w:r>
            <w:r>
              <w:rPr>
                <w:sz w:val="28"/>
                <w:szCs w:val="28"/>
              </w:rPr>
              <w:t xml:space="preserve">РАН, д.м.н.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 w:hanging="34" w:left="34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Шапошник</w:t>
            </w:r>
            <w:r>
              <w:rPr>
                <w:b/>
                <w:i/>
                <w:sz w:val="28"/>
                <w:szCs w:val="28"/>
              </w:rPr>
              <w:t xml:space="preserve"> Эдуард Леонидович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главный врач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Хабаровского филиала </w:t>
            </w:r>
            <w:r>
              <w:rPr>
                <w:sz w:val="28"/>
                <w:szCs w:val="28"/>
              </w:rPr>
              <w:t xml:space="preserve">Национального медицинского исследовательского центра оториноларингологии ФМБА России, </w:t>
            </w:r>
            <w:r>
              <w:rPr>
                <w:sz w:val="28"/>
                <w:szCs w:val="28"/>
              </w:rPr>
              <w:t xml:space="preserve">к</w:t>
            </w:r>
            <w:r>
              <w:rPr>
                <w:sz w:val="28"/>
                <w:szCs w:val="28"/>
              </w:rPr>
              <w:t xml:space="preserve">.м.н.</w:t>
            </w:r>
            <w:r>
              <w:rPr>
                <w:sz w:val="28"/>
                <w:szCs w:val="28"/>
              </w:rPr>
              <w:t xml:space="preserve">, доцент кафед</w:t>
            </w:r>
            <w:r>
              <w:rPr>
                <w:sz w:val="28"/>
                <w:szCs w:val="28"/>
              </w:rPr>
              <w:t xml:space="preserve">ры оториноларингологии ФГБОУ </w:t>
            </w:r>
            <w:r>
              <w:rPr>
                <w:sz w:val="28"/>
                <w:szCs w:val="28"/>
              </w:rPr>
              <w:t xml:space="preserve">ВО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«Дальневосточный государственный медицинский университет» Минздрава России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526" w:type="dxa"/>
          </w:tcPr>
          <w:p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14:15-14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30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8681" w:type="dxa"/>
          </w:tcPr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Тактика ведения пациентов с первично выявленным новообразованием носоглотки. </w:t>
            </w:r>
            <w:r>
              <w:rPr>
                <w:b/>
                <w:sz w:val="28"/>
                <w:szCs w:val="28"/>
              </w:rPr>
              <w:t xml:space="preserve">Клинический</w:t>
            </w:r>
            <w:r>
              <w:rPr>
                <w:b/>
                <w:sz w:val="28"/>
                <w:szCs w:val="28"/>
              </w:rPr>
              <w:t xml:space="preserve"> случаи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Хорук</w:t>
            </w:r>
            <w:r>
              <w:rPr>
                <w:b/>
                <w:i/>
                <w:sz w:val="28"/>
                <w:szCs w:val="28"/>
              </w:rPr>
              <w:t xml:space="preserve"> Сергей Михайлович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главный специалист </w:t>
            </w:r>
            <w:r>
              <w:rPr>
                <w:sz w:val="28"/>
                <w:szCs w:val="28"/>
              </w:rPr>
              <w:t xml:space="preserve">оториноларинголог</w:t>
            </w:r>
            <w:r>
              <w:rPr>
                <w:sz w:val="28"/>
                <w:szCs w:val="28"/>
              </w:rPr>
              <w:t xml:space="preserve"> ДФО, </w:t>
            </w:r>
            <w:r>
              <w:rPr>
                <w:sz w:val="28"/>
                <w:szCs w:val="28"/>
              </w:rPr>
              <w:t xml:space="preserve">зам. главного врача по медицинской части</w:t>
            </w:r>
            <w:r>
              <w:rPr>
                <w:sz w:val="28"/>
                <w:szCs w:val="28"/>
              </w:rPr>
              <w:t xml:space="preserve"> Хабаровского филиала ФГБУ «Национальный медицинский исследовательский центр оториноларингологии» Федерального медико-биологического </w:t>
            </w:r>
            <w:r>
              <w:rPr>
                <w:sz w:val="28"/>
                <w:szCs w:val="28"/>
              </w:rPr>
              <w:t xml:space="preserve">агентства России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526" w:type="dxa"/>
          </w:tcPr>
          <w:p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14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30-14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45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8681" w:type="dxa"/>
          </w:tcPr>
          <w:p>
            <w:pPr>
              <w:pBdr/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Лицевая и головная боль при </w:t>
            </w:r>
            <w:r>
              <w:rPr>
                <w:b/>
                <w:sz w:val="28"/>
                <w:szCs w:val="28"/>
              </w:rPr>
              <w:t xml:space="preserve">риносинусите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Савенок</w:t>
            </w:r>
            <w:r>
              <w:rPr>
                <w:b/>
                <w:i/>
                <w:sz w:val="28"/>
                <w:szCs w:val="28"/>
              </w:rPr>
              <w:t xml:space="preserve"> Алина Владимировна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и.о</w:t>
            </w:r>
            <w:r>
              <w:rPr>
                <w:sz w:val="28"/>
                <w:szCs w:val="28"/>
              </w:rPr>
              <w:t xml:space="preserve">. заведующего кафедрой</w:t>
            </w:r>
            <w:r>
              <w:rPr>
                <w:sz w:val="28"/>
                <w:szCs w:val="28"/>
              </w:rPr>
              <w:t xml:space="preserve"> оториноларингологии ФГБОУ </w:t>
            </w:r>
            <w:r>
              <w:rPr>
                <w:sz w:val="28"/>
                <w:szCs w:val="28"/>
              </w:rPr>
              <w:t xml:space="preserve">ВО</w:t>
            </w:r>
            <w:r>
              <w:rPr>
                <w:sz w:val="28"/>
                <w:szCs w:val="28"/>
              </w:rPr>
              <w:t xml:space="preserve"> «Дальневосточный государственный медицинский университет» Минздрава России, врач-</w:t>
            </w:r>
            <w:r>
              <w:rPr>
                <w:sz w:val="28"/>
                <w:szCs w:val="28"/>
              </w:rPr>
              <w:t xml:space="preserve">оториноларинголог</w:t>
            </w:r>
            <w:r>
              <w:rPr>
                <w:sz w:val="28"/>
                <w:szCs w:val="28"/>
              </w:rPr>
              <w:t xml:space="preserve"> Хабаровского филиала ФГБУ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«Национальный медицинский исследовательский центр оториноларингологии» Федерального медико-биологического агентства России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526" w:type="dxa"/>
          </w:tcPr>
          <w:p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45</w:t>
            </w:r>
            <w:r>
              <w:rPr>
                <w:b/>
                <w:sz w:val="28"/>
                <w:szCs w:val="28"/>
              </w:rPr>
              <w:t xml:space="preserve">-</w:t>
            </w:r>
            <w:r>
              <w:rPr>
                <w:b/>
                <w:sz w:val="28"/>
                <w:szCs w:val="28"/>
                <w:lang w:val="en-US"/>
              </w:rPr>
              <w:t xml:space="preserve">1</w:t>
            </w:r>
            <w:r>
              <w:rPr>
                <w:b/>
                <w:sz w:val="28"/>
                <w:szCs w:val="28"/>
              </w:rPr>
              <w:t xml:space="preserve">5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05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8681" w:type="dxa"/>
          </w:tcPr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Оптимизация методов диагностики и лечения различных форм отосклероза. Причины и результаты </w:t>
            </w:r>
            <w:r>
              <w:rPr>
                <w:b/>
                <w:sz w:val="28"/>
                <w:szCs w:val="28"/>
              </w:rPr>
              <w:t xml:space="preserve">реопераций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при отосклерозе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Костюченко Ольга Ильинична</w:t>
            </w:r>
            <w:r>
              <w:rPr>
                <w:sz w:val="28"/>
                <w:szCs w:val="28"/>
              </w:rPr>
              <w:t xml:space="preserve">, заведующий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оториноларингологическим отделением Хабаровского филиала</w:t>
            </w:r>
            <w:r>
              <w:rPr>
                <w:sz w:val="28"/>
                <w:szCs w:val="28"/>
              </w:rPr>
              <w:t xml:space="preserve"> ФГБУ «Национальный медицинский </w:t>
            </w:r>
            <w:r>
              <w:rPr>
                <w:sz w:val="28"/>
                <w:szCs w:val="28"/>
              </w:rPr>
              <w:t xml:space="preserve">исследовательский центр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оториноларингологии» Федерального медико-биологического агентства России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526" w:type="dxa"/>
            <w:vMerge w:val="restart"/>
          </w:tcPr>
          <w:p w14:paraId="6EDEDD64"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  <w:t xml:space="preserve">5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05- 15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20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 w14:paraId="535D1F94"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8681" w:type="dxa"/>
            <w:vMerge w:val="restart"/>
          </w:tcPr>
          <w:p w14:paraId="0613280C"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Приобретенная </w:t>
            </w:r>
            <w:r>
              <w:rPr>
                <w:b/>
                <w:sz w:val="28"/>
                <w:szCs w:val="28"/>
              </w:rPr>
              <w:t xml:space="preserve">мягкотканная</w:t>
            </w:r>
            <w:r>
              <w:rPr>
                <w:b/>
                <w:sz w:val="28"/>
                <w:szCs w:val="28"/>
              </w:rPr>
              <w:t xml:space="preserve"> атрезия наружного слухового прохода: методы хирургического лечения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 w14:paraId="6781785D"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Голуб Евгений Николаевич</w:t>
            </w:r>
            <w:r>
              <w:rPr>
                <w:b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ассистент кафедры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04B036CA"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оториноларингологии ФГБОУ </w:t>
            </w:r>
            <w:r>
              <w:rPr>
                <w:sz w:val="28"/>
                <w:szCs w:val="28"/>
              </w:rPr>
              <w:t xml:space="preserve">ВО</w:t>
            </w:r>
            <w:r>
              <w:rPr>
                <w:sz w:val="28"/>
                <w:szCs w:val="28"/>
              </w:rPr>
              <w:t xml:space="preserve"> «Дальневосточный государственный медицинский университет» Минздрава России, научный сотрудник Хабаровского филиала ФГБУ «Национальный медицинский исследовательский центр оториноларингологии» Федерального медико-биологического</w:t>
            </w:r>
            <w:r>
              <w:rPr>
                <w:sz w:val="28"/>
                <w:szCs w:val="28"/>
              </w:rPr>
              <w:t xml:space="preserve"> агентства России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0FAB5E29"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526" w:type="dxa"/>
          </w:tcPr>
          <w:p w14:paraId="34422FAA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15:20-15:35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8681" w:type="dxa"/>
          </w:tcPr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Клинический случай </w:t>
            </w:r>
            <w:r>
              <w:rPr>
                <w:b/>
                <w:sz w:val="28"/>
                <w:szCs w:val="28"/>
              </w:rPr>
              <w:t xml:space="preserve">гем</w:t>
            </w:r>
            <w:r>
              <w:rPr>
                <w:b/>
                <w:sz w:val="28"/>
                <w:szCs w:val="28"/>
              </w:rPr>
              <w:t xml:space="preserve">атогидроза</w:t>
            </w:r>
            <w:r>
              <w:rPr>
                <w:b/>
                <w:sz w:val="28"/>
                <w:szCs w:val="28"/>
              </w:rPr>
              <w:t xml:space="preserve"> в практике врача </w:t>
            </w:r>
            <w:r>
              <w:rPr>
                <w:b/>
                <w:sz w:val="28"/>
                <w:szCs w:val="28"/>
              </w:rPr>
              <w:t xml:space="preserve">сурдолога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Кузьминых Ольга Геннадьевна</w:t>
            </w:r>
            <w:r>
              <w:rPr>
                <w:sz w:val="28"/>
                <w:szCs w:val="28"/>
              </w:rPr>
              <w:t xml:space="preserve">, ассистент кафедры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оториноларингологии ФГБОУ </w:t>
            </w:r>
            <w:r>
              <w:rPr>
                <w:sz w:val="28"/>
                <w:szCs w:val="28"/>
              </w:rPr>
              <w:t xml:space="preserve">ВО</w:t>
            </w:r>
            <w:r>
              <w:rPr>
                <w:sz w:val="28"/>
                <w:szCs w:val="28"/>
              </w:rPr>
              <w:t xml:space="preserve"> «Дальневосточный госу</w:t>
            </w:r>
            <w:r>
              <w:rPr>
                <w:sz w:val="28"/>
                <w:szCs w:val="28"/>
              </w:rPr>
              <w:t xml:space="preserve">дарственный медицинский университет» Минздрава России, заведующий поликлиническим отделением Хабаровского филиала ФГБУ «Национальный медицинский исследовательский центр оториноларингологии» Федерального медико-биологического агентства России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526" w:type="dxa"/>
          </w:tcPr>
          <w:p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  <w:t xml:space="preserve">5:35-15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50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8681" w:type="dxa"/>
          </w:tcPr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Аудиторная </w:t>
            </w:r>
            <w:r>
              <w:rPr>
                <w:b/>
                <w:sz w:val="28"/>
                <w:szCs w:val="28"/>
              </w:rPr>
              <w:t xml:space="preserve">нейропатия</w:t>
            </w:r>
            <w:r>
              <w:rPr>
                <w:b/>
                <w:sz w:val="28"/>
                <w:szCs w:val="28"/>
              </w:rPr>
              <w:t xml:space="preserve">: клиника, диагностика, тактика ведения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Брайченко</w:t>
            </w:r>
            <w:r>
              <w:rPr>
                <w:b/>
                <w:i/>
                <w:sz w:val="28"/>
                <w:szCs w:val="28"/>
              </w:rPr>
              <w:t xml:space="preserve"> Кристина Сергеевна</w:t>
            </w:r>
            <w:r>
              <w:rPr>
                <w:sz w:val="28"/>
                <w:szCs w:val="28"/>
              </w:rPr>
              <w:t xml:space="preserve">, врач-</w:t>
            </w:r>
            <w:r>
              <w:rPr>
                <w:sz w:val="28"/>
                <w:szCs w:val="28"/>
              </w:rPr>
              <w:t xml:space="preserve">оториноларинголог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сурдолог</w:t>
            </w:r>
            <w:r>
              <w:rPr>
                <w:sz w:val="28"/>
                <w:szCs w:val="28"/>
              </w:rPr>
              <w:t xml:space="preserve">  Хабаровского филиала ФГБУ «Национальный меди</w:t>
            </w:r>
            <w:r>
              <w:rPr>
                <w:sz w:val="28"/>
                <w:szCs w:val="28"/>
              </w:rPr>
              <w:t xml:space="preserve">цинский исследовательский центр </w:t>
            </w:r>
            <w:r>
              <w:rPr>
                <w:sz w:val="28"/>
                <w:szCs w:val="28"/>
              </w:rPr>
              <w:t xml:space="preserve">оториноларингологии» Федерального медико-биологического агентства России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051"/>
        </w:trPr>
        <w:tc>
          <w:tcPr>
            <w:tcBorders/>
            <w:tcW w:w="1526" w:type="dxa"/>
          </w:tcPr>
          <w:p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  <w:t xml:space="preserve">5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50</w:t>
            </w:r>
            <w:r>
              <w:rPr>
                <w:b/>
                <w:sz w:val="28"/>
                <w:szCs w:val="28"/>
              </w:rPr>
              <w:t xml:space="preserve">-1</w:t>
            </w:r>
            <w:r>
              <w:rPr>
                <w:b/>
                <w:sz w:val="28"/>
                <w:szCs w:val="28"/>
              </w:rPr>
              <w:t xml:space="preserve">6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20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8681" w:type="dxa"/>
          </w:tcPr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Хирургическое вмешательство на перегородке и наружном носе после предшествующей хирургии перегородки носа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Гилифанов</w:t>
            </w:r>
            <w:r>
              <w:rPr>
                <w:b/>
                <w:i/>
                <w:sz w:val="28"/>
                <w:szCs w:val="28"/>
              </w:rPr>
              <w:t xml:space="preserve"> Евгений Альбертович</w:t>
            </w:r>
            <w:r>
              <w:rPr>
                <w:sz w:val="28"/>
                <w:szCs w:val="28"/>
              </w:rPr>
              <w:t xml:space="preserve">, профессор кафедры офтальмологии и оториноларингологии ФГБОУ </w:t>
            </w:r>
            <w:r>
              <w:rPr>
                <w:sz w:val="28"/>
                <w:szCs w:val="28"/>
              </w:rPr>
              <w:t xml:space="preserve">ВО</w:t>
            </w:r>
            <w:r>
              <w:rPr>
                <w:sz w:val="28"/>
                <w:szCs w:val="28"/>
              </w:rPr>
              <w:t xml:space="preserve"> «Тихоокеанский государственный медицинский университет», д.м.н., профессор (г. Владивосток)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2065"/>
        </w:trPr>
        <w:tc>
          <w:tcPr>
            <w:tcBorders/>
            <w:tcW w:w="1526" w:type="dxa"/>
          </w:tcPr>
          <w:p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  <w:t xml:space="preserve">6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20- 16:35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8681" w:type="dxa"/>
          </w:tcPr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Трансоральное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видеоассистированное</w:t>
            </w:r>
            <w:r>
              <w:rPr>
                <w:b/>
                <w:sz w:val="28"/>
                <w:szCs w:val="28"/>
              </w:rPr>
              <w:t xml:space="preserve"> удаление опухолей </w:t>
            </w:r>
            <w:r>
              <w:rPr>
                <w:b/>
                <w:sz w:val="28"/>
                <w:szCs w:val="28"/>
              </w:rPr>
              <w:t xml:space="preserve">окологлоточных пространств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Фёдорова Виктория Евгеньевна</w:t>
            </w:r>
            <w:r>
              <w:rPr>
                <w:sz w:val="28"/>
                <w:szCs w:val="28"/>
              </w:rPr>
              <w:t xml:space="preserve">, врач-</w:t>
            </w:r>
            <w:r>
              <w:rPr>
                <w:sz w:val="28"/>
                <w:szCs w:val="28"/>
              </w:rPr>
              <w:t xml:space="preserve">оториноларинголог</w:t>
            </w:r>
            <w:r>
              <w:rPr>
                <w:sz w:val="28"/>
                <w:szCs w:val="28"/>
              </w:rPr>
              <w:t xml:space="preserve"> оториноларингологического отделения центра «Хирургия головы и шеи» КГБУЗ «Краевая клиническая больница» имени профессора С.И. Сергеева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166"/>
        </w:trPr>
        <w:tc>
          <w:tcPr>
            <w:tcBorders/>
            <w:tcW w:w="1526" w:type="dxa"/>
            <w:vMerge w:val="restart"/>
          </w:tcPr>
          <w:p w14:paraId="22221022"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16:3</w:t>
            </w:r>
            <w:r>
              <w:rPr>
                <w:b/>
                <w:sz w:val="28"/>
                <w:szCs w:val="28"/>
              </w:rPr>
              <w:t xml:space="preserve">5</w:t>
            </w:r>
            <w:r>
              <w:rPr>
                <w:b/>
                <w:sz w:val="28"/>
                <w:szCs w:val="28"/>
              </w:rPr>
              <w:t xml:space="preserve">-</w:t>
            </w:r>
            <w:r>
              <w:rPr>
                <w:b/>
                <w:sz w:val="28"/>
                <w:szCs w:val="28"/>
              </w:rPr>
              <w:t xml:space="preserve">16:55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 w14:paraId="121A545B"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8681" w:type="dxa"/>
            <w:vMerge w:val="restart"/>
          </w:tcPr>
          <w:p w14:paraId="1581D2ED"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Взгляд </w:t>
            </w:r>
            <w:r>
              <w:rPr>
                <w:b/>
                <w:sz w:val="28"/>
                <w:szCs w:val="28"/>
              </w:rPr>
              <w:t xml:space="preserve">оториноларинголога</w:t>
            </w:r>
            <w:r>
              <w:rPr>
                <w:b/>
                <w:sz w:val="28"/>
                <w:szCs w:val="28"/>
              </w:rPr>
              <w:t xml:space="preserve"> на доброкачественные новообразования кожи наружного носа и его полости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 w14:paraId="609C83E3"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Блоцкий</w:t>
            </w:r>
            <w:r>
              <w:rPr>
                <w:b/>
                <w:i/>
                <w:sz w:val="28"/>
                <w:szCs w:val="28"/>
              </w:rPr>
              <w:t xml:space="preserve"> Александр Антонович,</w:t>
            </w:r>
            <w:r>
              <w:rPr>
                <w:sz w:val="28"/>
                <w:szCs w:val="28"/>
              </w:rPr>
              <w:t xml:space="preserve"> заведующий кафедрой оториноларингологии и офтальмологии ФГБОУ </w:t>
            </w:r>
            <w:r>
              <w:rPr>
                <w:sz w:val="28"/>
                <w:szCs w:val="28"/>
              </w:rPr>
              <w:t xml:space="preserve">ВО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  <w:t xml:space="preserve">Амурская ГМА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  <w:t xml:space="preserve"> Минздрава России, заслуженный изобретатель РФ, д.м.н., профессор (г. Благовещенск)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2124E2DD"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526" w:type="dxa"/>
          </w:tcPr>
          <w:p w14:paraId="0557800C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16:55-17:15</w:t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8681" w:type="dxa"/>
          </w:tcPr>
          <w:p w14:paraId="66E2F7F9"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Клинический опыт хирургического гемостаза при </w:t>
            </w:r>
            <w:r>
              <w:rPr>
                <w:b/>
                <w:sz w:val="28"/>
                <w:szCs w:val="28"/>
              </w:rPr>
              <w:t xml:space="preserve">тонзиллэктомии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 w14:paraId="2E1F0F77"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Самохвалова</w:t>
            </w:r>
            <w:r>
              <w:rPr>
                <w:b/>
                <w:i/>
                <w:sz w:val="28"/>
                <w:szCs w:val="28"/>
              </w:rPr>
              <w:t xml:space="preserve"> Наталья Сергеевна,</w:t>
            </w:r>
            <w:r>
              <w:rPr>
                <w:sz w:val="28"/>
                <w:szCs w:val="28"/>
              </w:rPr>
              <w:t xml:space="preserve"> ассистент кафедры оториноларингологии ФГБОУ </w:t>
            </w:r>
            <w:r>
              <w:rPr>
                <w:sz w:val="28"/>
                <w:szCs w:val="28"/>
              </w:rPr>
              <w:t xml:space="preserve">ВО</w:t>
            </w:r>
            <w:r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 xml:space="preserve">Дальневосточный государственный медицинский университет» Минздрава России, научный сотрудник Хабаровского филиала ФГБУ «Национальный медицинский исследовательский центр оториноларингологии» Федерального медико-биологического агентства России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526" w:type="dxa"/>
          </w:tcPr>
          <w:p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17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15 - 17:35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8681" w:type="dxa"/>
          </w:tcPr>
          <w:p w14:paraId="19C2BDE9">
            <w:pPr>
              <w:pBdr/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Алгоритм обследования пациентов с односторонним парезом гортани неясной этиологии в практике врача-</w:t>
            </w:r>
            <w:r>
              <w:rPr>
                <w:b/>
                <w:sz w:val="28"/>
                <w:szCs w:val="28"/>
              </w:rPr>
              <w:t xml:space="preserve">оториноларинголога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 w14:paraId="09417367"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Савенок</w:t>
            </w:r>
            <w:r>
              <w:rPr>
                <w:b/>
                <w:i/>
                <w:sz w:val="28"/>
                <w:szCs w:val="28"/>
              </w:rPr>
              <w:t xml:space="preserve"> Алина Владимировна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и.о</w:t>
            </w:r>
            <w:r>
              <w:rPr>
                <w:sz w:val="28"/>
                <w:szCs w:val="28"/>
              </w:rPr>
              <w:t xml:space="preserve">. заведующего кафедры оториноларингологии ФГБОУ ВО «Дальневосточный государственный медицинский университет» Минздрава России, врач-</w:t>
            </w:r>
            <w:r>
              <w:rPr>
                <w:sz w:val="28"/>
                <w:szCs w:val="28"/>
              </w:rPr>
              <w:t xml:space="preserve">оториноларинголог</w:t>
            </w:r>
            <w:r>
              <w:rPr>
                <w:sz w:val="28"/>
                <w:szCs w:val="28"/>
              </w:rPr>
              <w:t xml:space="preserve"> Хабаровского филиала </w:t>
            </w:r>
            <w:r>
              <w:rPr>
                <w:sz w:val="28"/>
                <w:szCs w:val="28"/>
              </w:rPr>
              <w:t xml:space="preserve">ФГБУ</w:t>
            </w:r>
            <w:r>
              <w:rPr>
                <w:sz w:val="28"/>
                <w:szCs w:val="28"/>
              </w:rPr>
              <w:t xml:space="preserve">«Н</w:t>
            </w:r>
            <w:r>
              <w:rPr>
                <w:sz w:val="28"/>
                <w:szCs w:val="28"/>
              </w:rPr>
              <w:t xml:space="preserve">ациональный</w:t>
            </w:r>
            <w:r>
              <w:rPr>
                <w:sz w:val="28"/>
                <w:szCs w:val="28"/>
              </w:rPr>
              <w:t xml:space="preserve"> медицинский исследовательский центр оториноларингологии» Федерального медико-биологического агентства России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513"/>
        </w:trPr>
        <w:tc>
          <w:tcPr>
            <w:tcBorders/>
            <w:tcW w:w="1526" w:type="dxa"/>
          </w:tcPr>
          <w:p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17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35-17</w:t>
            </w:r>
            <w:r>
              <w:rPr>
                <w:b/>
                <w:sz w:val="28"/>
                <w:szCs w:val="28"/>
              </w:rPr>
              <w:t xml:space="preserve">:</w:t>
            </w:r>
            <w:r>
              <w:rPr>
                <w:b/>
                <w:sz w:val="28"/>
                <w:szCs w:val="28"/>
              </w:rPr>
              <w:t xml:space="preserve">50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8681" w:type="dxa"/>
          </w:tcPr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Синдром Игл</w:t>
            </w:r>
            <w:r>
              <w:rPr>
                <w:b/>
                <w:sz w:val="28"/>
                <w:szCs w:val="28"/>
              </w:rPr>
              <w:t xml:space="preserve">а-</w:t>
            </w:r>
            <w:r>
              <w:rPr>
                <w:b/>
                <w:sz w:val="28"/>
                <w:szCs w:val="28"/>
              </w:rPr>
              <w:t xml:space="preserve"> Стерлинга  в практике лор- хирурга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Малых Максим Вадимович,</w:t>
            </w:r>
            <w:r>
              <w:rPr>
                <w:sz w:val="28"/>
                <w:szCs w:val="28"/>
              </w:rPr>
              <w:t xml:space="preserve"> ассистент кафедры оториноларингологии ФГБОУ </w:t>
            </w:r>
            <w:r>
              <w:rPr>
                <w:sz w:val="28"/>
                <w:szCs w:val="28"/>
              </w:rPr>
              <w:t xml:space="preserve">ВО</w:t>
            </w:r>
            <w:r>
              <w:rPr>
                <w:sz w:val="28"/>
                <w:szCs w:val="28"/>
              </w:rPr>
              <w:t xml:space="preserve"> «Дальневосточный государственный медицинский университет» Минздрава России, врач-</w:t>
            </w:r>
            <w:r>
              <w:rPr>
                <w:sz w:val="28"/>
                <w:szCs w:val="28"/>
              </w:rPr>
              <w:t xml:space="preserve">оториноларинголог</w:t>
            </w:r>
            <w:r>
              <w:rPr>
                <w:sz w:val="28"/>
                <w:szCs w:val="28"/>
              </w:rPr>
              <w:t xml:space="preserve"> оториноларингологического отделения центра «Хирургия головы и шеи» КГБУЗ «Краевая клиническая больница» имени профессора С.И. Сергеева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526" w:type="dxa"/>
          </w:tcPr>
          <w:p>
            <w:pPr>
              <w:pBdr/>
              <w:tabs>
                <w:tab w:val="left" w:leader="none" w:pos="2235"/>
              </w:tabs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17:50-18:00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/>
            <w:tcW w:w="8681" w:type="dxa"/>
          </w:tcPr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Обсуждение и подведение итогов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Bdr/>
              <w:tabs>
                <w:tab w:val="left" w:leader="none" w:pos="2235"/>
              </w:tabs>
              <w:spacing/>
              <w: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Закрытие конференции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h="16838" w:orient="portrait" w:w="11906"/>
      <w:pgMar w:top="568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7F398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>
    <w:name w:val="Table Grid Light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1"/>
    <w:basedOn w:val="887"/>
    <w:next w:val="887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9">
    <w:name w:val="Heading 2"/>
    <w:basedOn w:val="887"/>
    <w:next w:val="887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0">
    <w:name w:val="Heading 3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87"/>
    <w:next w:val="887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87"/>
    <w:next w:val="887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87"/>
    <w:next w:val="887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7">
    <w:name w:val="Heading 1 Char"/>
    <w:basedOn w:val="888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88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88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88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88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88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88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88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88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7"/>
    <w:next w:val="887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88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7"/>
    <w:next w:val="887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88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7"/>
    <w:next w:val="887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88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8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7"/>
    <w:next w:val="887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88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8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6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7">
    <w:name w:val="Subtle Emphasis"/>
    <w:basedOn w:val="88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8">
    <w:name w:val="Emphasis"/>
    <w:basedOn w:val="888"/>
    <w:uiPriority w:val="20"/>
    <w:qFormat/>
    <w:pPr>
      <w:pBdr/>
      <w:spacing/>
      <w:ind/>
    </w:pPr>
    <w:rPr>
      <w:i/>
      <w:iCs/>
    </w:rPr>
  </w:style>
  <w:style w:type="character" w:styleId="859">
    <w:name w:val="Strong"/>
    <w:basedOn w:val="888"/>
    <w:uiPriority w:val="22"/>
    <w:qFormat/>
    <w:pPr>
      <w:pBdr/>
      <w:spacing/>
      <w:ind/>
    </w:pPr>
    <w:rPr>
      <w:b/>
      <w:bCs/>
    </w:rPr>
  </w:style>
  <w:style w:type="character" w:styleId="860">
    <w:name w:val="Subtle Reference"/>
    <w:basedOn w:val="88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1">
    <w:name w:val="Book Title"/>
    <w:basedOn w:val="88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2">
    <w:name w:val="Header"/>
    <w:basedOn w:val="887"/>
    <w:link w:val="86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3">
    <w:name w:val="Header Char"/>
    <w:basedOn w:val="888"/>
    <w:link w:val="862"/>
    <w:uiPriority w:val="99"/>
    <w:pPr>
      <w:pBdr/>
      <w:spacing/>
      <w:ind/>
    </w:pPr>
  </w:style>
  <w:style w:type="paragraph" w:styleId="864">
    <w:name w:val="Footer"/>
    <w:basedOn w:val="887"/>
    <w:link w:val="86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5">
    <w:name w:val="Footer Char"/>
    <w:basedOn w:val="888"/>
    <w:link w:val="864"/>
    <w:uiPriority w:val="99"/>
    <w:pPr>
      <w:pBdr/>
      <w:spacing/>
      <w:ind/>
    </w:pPr>
  </w:style>
  <w:style w:type="paragraph" w:styleId="866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7">
    <w:name w:val="footnote text"/>
    <w:basedOn w:val="887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Footnote Text Char"/>
    <w:basedOn w:val="888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footnote reference"/>
    <w:basedOn w:val="888"/>
    <w:uiPriority w:val="99"/>
    <w:semiHidden/>
    <w:unhideWhenUsed/>
    <w:pPr>
      <w:pBdr/>
      <w:spacing/>
      <w:ind/>
    </w:pPr>
    <w:rPr>
      <w:vertAlign w:val="superscript"/>
    </w:rPr>
  </w:style>
  <w:style w:type="paragraph" w:styleId="870">
    <w:name w:val="endnote text"/>
    <w:basedOn w:val="887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Endnote Text Char"/>
    <w:basedOn w:val="888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endnote reference"/>
    <w:basedOn w:val="888"/>
    <w:uiPriority w:val="99"/>
    <w:semiHidden/>
    <w:unhideWhenUsed/>
    <w:pPr>
      <w:pBdr/>
      <w:spacing/>
      <w:ind/>
    </w:pPr>
    <w:rPr>
      <w:vertAlign w:val="superscript"/>
    </w:rPr>
  </w:style>
  <w:style w:type="character" w:styleId="873">
    <w:name w:val="Hyperlink"/>
    <w:basedOn w:val="88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4">
    <w:name w:val="FollowedHyperlink"/>
    <w:basedOn w:val="88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6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7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8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79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0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1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2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3">
    <w:name w:val="toc 9"/>
    <w:basedOn w:val="887"/>
    <w:next w:val="887"/>
    <w:uiPriority w:val="39"/>
    <w:unhideWhenUsed/>
    <w:pPr>
      <w:pBdr/>
      <w:spacing w:after="100"/>
      <w:ind w:left="1760"/>
    </w:pPr>
  </w:style>
  <w:style w:type="character" w:styleId="884">
    <w:name w:val="Placeholder Text"/>
    <w:basedOn w:val="888"/>
    <w:uiPriority w:val="99"/>
    <w:semiHidden/>
    <w:pPr>
      <w:pBdr/>
      <w:spacing/>
      <w:ind/>
    </w:pPr>
    <w:rPr>
      <w:color w:val="666666"/>
    </w:r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8" w:default="1">
    <w:name w:val="Default Paragraph Font"/>
    <w:uiPriority w:val="1"/>
    <w:unhideWhenUsed/>
    <w:pPr>
      <w:pBdr/>
      <w:spacing/>
      <w:ind/>
    </w:pPr>
  </w:style>
  <w:style w:type="table" w:styleId="88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0" w:default="1">
    <w:name w:val="No List"/>
    <w:uiPriority w:val="99"/>
    <w:semiHidden/>
    <w:unhideWhenUsed/>
    <w:pPr>
      <w:pBdr/>
      <w:spacing/>
      <w:ind/>
    </w:pPr>
  </w:style>
  <w:style w:type="table" w:styleId="891">
    <w:name w:val="Table Grid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2">
    <w:name w:val="List Paragraph"/>
    <w:basedOn w:val="887"/>
    <w:uiPriority w:val="34"/>
    <w:qFormat/>
    <w:pPr>
      <w:pBdr/>
      <w:spacing w:after="160" w:line="278" w:lineRule="auto"/>
      <w:ind w:left="720"/>
      <w:contextualSpacing w:val="true"/>
    </w:pPr>
    <w:rPr>
      <w:rFonts w:asciiTheme="minorHAnsi" w:hAnsiTheme="minorHAnsi" w:eastAsiaTheme="minorHAnsi" w:cstheme="minorBidi"/>
      <w:lang w:eastAsia="en-US"/>
      <w14:ligatures w14:val="standardContextual"/>
    </w:rPr>
  </w:style>
  <w:style w:type="paragraph" w:styleId="893">
    <w:name w:val="Balloon Text"/>
    <w:basedOn w:val="887"/>
    <w:link w:val="894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894" w:customStyle="1">
    <w:name w:val="Текст выноски Знак"/>
    <w:basedOn w:val="888"/>
    <w:link w:val="893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fesmu.ktalk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Савенок Алина Владимировна</dc:creator>
  <cp:revision>15</cp:revision>
  <dcterms:created xsi:type="dcterms:W3CDTF">2026-10-14T03:39:00Z</dcterms:created>
  <dcterms:modified xsi:type="dcterms:W3CDTF">2026-10-28T04:26:40Z</dcterms:modified>
</cp:coreProperties>
</file>